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1C" w:rsidRPr="00D31C1C" w:rsidRDefault="000118D8" w:rsidP="00D31C1C">
      <w:pPr>
        <w:autoSpaceDE w:val="0"/>
        <w:autoSpaceDN w:val="0"/>
        <w:adjustRightInd w:val="0"/>
        <w:spacing w:line="360" w:lineRule="auto"/>
        <w:jc w:val="center"/>
        <w:rPr>
          <w:rFonts w:asciiTheme="majorHAnsi" w:hAnsiTheme="majorHAnsi"/>
          <w:b/>
          <w:sz w:val="36"/>
          <w:szCs w:val="26"/>
        </w:rPr>
      </w:pPr>
      <w:bookmarkStart w:id="0" w:name="_GoBack"/>
      <w:r w:rsidRPr="000118D8">
        <w:rPr>
          <w:rFonts w:ascii="Cambria" w:hAnsi="Cambria"/>
          <w:b/>
          <w:sz w:val="40"/>
        </w:rPr>
        <w:t>ETS</w:t>
      </w:r>
      <w:r w:rsidR="003266DD">
        <w:rPr>
          <w:rFonts w:ascii="Cambria" w:hAnsi="Cambria"/>
          <w:b/>
          <w:sz w:val="40"/>
        </w:rPr>
        <w:t>J</w:t>
      </w:r>
      <w:r w:rsidR="000F749A">
        <w:rPr>
          <w:rFonts w:ascii="Cambria" w:hAnsi="Cambria"/>
          <w:b/>
          <w:sz w:val="40"/>
        </w:rPr>
        <w:t>00</w:t>
      </w:r>
      <w:r w:rsidR="00D31C1C">
        <w:rPr>
          <w:rFonts w:ascii="Cambria" w:hAnsi="Cambria"/>
          <w:b/>
          <w:sz w:val="40"/>
        </w:rPr>
        <w:t>2</w:t>
      </w:r>
      <w:r w:rsidR="00122237" w:rsidRPr="00CE385F">
        <w:rPr>
          <w:rFonts w:ascii="Cambria" w:hAnsi="Cambria"/>
          <w:b/>
          <w:sz w:val="40"/>
        </w:rPr>
        <w:t xml:space="preserve"> - </w:t>
      </w:r>
      <w:r w:rsidR="00D31C1C" w:rsidRPr="00D31C1C">
        <w:rPr>
          <w:rFonts w:asciiTheme="majorHAnsi" w:hAnsiTheme="majorHAnsi"/>
          <w:b/>
          <w:sz w:val="36"/>
          <w:szCs w:val="26"/>
        </w:rPr>
        <w:t>FILTERING THE UNWANTED PACKETS IN THE NETWORK</w:t>
      </w:r>
      <w:bookmarkEnd w:id="0"/>
    </w:p>
    <w:p w:rsidR="00D31C1C" w:rsidRPr="005569DC" w:rsidRDefault="00122237" w:rsidP="00D31C1C">
      <w:pPr>
        <w:autoSpaceDE w:val="0"/>
        <w:autoSpaceDN w:val="0"/>
        <w:adjustRightInd w:val="0"/>
        <w:spacing w:line="360" w:lineRule="auto"/>
        <w:jc w:val="both"/>
        <w:rPr>
          <w:sz w:val="26"/>
          <w:szCs w:val="26"/>
        </w:rPr>
      </w:pPr>
      <w:r w:rsidRPr="00CE385F">
        <w:rPr>
          <w:rFonts w:ascii="Cambria" w:hAnsi="Cambria"/>
          <w:b/>
          <w:sz w:val="32"/>
        </w:rPr>
        <w:t>Abstract</w:t>
      </w:r>
      <w:r w:rsidR="009252C5">
        <w:rPr>
          <w:rFonts w:ascii="Cambria" w:hAnsi="Cambria"/>
          <w:b/>
          <w:sz w:val="32"/>
        </w:rPr>
        <w:t xml:space="preserve"> </w:t>
      </w:r>
      <w:r w:rsidRPr="00CE385F">
        <w:rPr>
          <w:rFonts w:ascii="Cambria" w:hAnsi="Cambria"/>
          <w:sz w:val="32"/>
        </w:rPr>
        <w:t>—</w:t>
      </w:r>
      <w:r w:rsidR="00A17CF5" w:rsidRPr="00A17CF5">
        <w:t xml:space="preserve"> </w:t>
      </w:r>
      <w:r w:rsidR="00D31C1C" w:rsidRPr="00D31C1C">
        <w:rPr>
          <w:rFonts w:asciiTheme="majorHAnsi" w:hAnsiTheme="majorHAnsi"/>
          <w:sz w:val="26"/>
          <w:szCs w:val="26"/>
        </w:rPr>
        <w:t>Asynchronous and dynamic natures of mobile agents, a certain number of mobile agent-based monitoring mechanisms have actively been developed to monitor large-scale and dynamic distributed networked systems adaptively and efficiently. Among them, some mechanisms attempt to adapt to dynamic changes in various aspects such as network traffic patterns, resource addition and deletion, network topology and so on. However, failures of some domain managers are very critical to providing correct, real-time and efficient monitoring functionality in a large-scale mobile agent-based distributed monitoring system. In this paper, we present a novel fault tolerance mechanism to have the following advantageous features appropriate for large-scale and dynamic hierarchical mobile agent-based monitoring organizations. It supports fast failure detection functionality with low failure-free overhead by each domain manager transmitting heart-beat messages to its immediate higher-level manager. Also, it minimizes the number of non-faulty monitoring managers affected by failures of domain managers. Moreover, it allows consistent failure detection actions to be performed continuously in case of agent creation, migration and termination, and is able to execute consistent takeover actions even in concurrent failures of domain managers.</w:t>
      </w:r>
    </w:p>
    <w:p w:rsidR="003266DD" w:rsidRPr="00CE3506" w:rsidRDefault="003266DD" w:rsidP="003266DD">
      <w:pPr>
        <w:autoSpaceDE w:val="0"/>
        <w:autoSpaceDN w:val="0"/>
        <w:adjustRightInd w:val="0"/>
        <w:spacing w:line="360" w:lineRule="auto"/>
        <w:jc w:val="both"/>
        <w:rPr>
          <w:rFonts w:ascii="Times New Roman" w:hAnsi="Times New Roman"/>
          <w:sz w:val="26"/>
          <w:szCs w:val="26"/>
        </w:rPr>
      </w:pPr>
    </w:p>
    <w:p w:rsidR="00122237" w:rsidRPr="00CE385F" w:rsidRDefault="00122237" w:rsidP="006E47DE">
      <w:pPr>
        <w:spacing w:line="360" w:lineRule="auto"/>
        <w:jc w:val="both"/>
        <w:rPr>
          <w:rFonts w:ascii="Cambria" w:hAnsi="Cambria"/>
          <w:sz w:val="32"/>
        </w:rPr>
      </w:pPr>
    </w:p>
    <w:sectPr w:rsidR="00122237" w:rsidRPr="00CE385F" w:rsidSect="00122237">
      <w:headerReference w:type="default" r:id="rId7"/>
      <w:pgSz w:w="12240" w:h="15840"/>
      <w:pgMar w:top="1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51" w:rsidRDefault="00F07C51" w:rsidP="00122237">
      <w:pPr>
        <w:spacing w:after="0" w:line="240" w:lineRule="auto"/>
      </w:pPr>
      <w:r>
        <w:separator/>
      </w:r>
    </w:p>
  </w:endnote>
  <w:endnote w:type="continuationSeparator" w:id="0">
    <w:p w:rsidR="00F07C51" w:rsidRDefault="00F07C51" w:rsidP="0012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51" w:rsidRDefault="00F07C51" w:rsidP="00122237">
      <w:pPr>
        <w:spacing w:after="0" w:line="240" w:lineRule="auto"/>
      </w:pPr>
      <w:r>
        <w:separator/>
      </w:r>
    </w:p>
  </w:footnote>
  <w:footnote w:type="continuationSeparator" w:id="0">
    <w:p w:rsidR="00F07C51" w:rsidRDefault="00F07C51" w:rsidP="0012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72" w:type="dxa"/>
      <w:tblBorders>
        <w:insideH w:val="single" w:sz="4" w:space="0" w:color="FFFFFF"/>
      </w:tblBorders>
      <w:shd w:val="clear" w:color="auto" w:fill="E36C0A"/>
      <w:tblLook w:val="04A0" w:firstRow="1" w:lastRow="0" w:firstColumn="1" w:lastColumn="0" w:noHBand="0" w:noVBand="1"/>
    </w:tblPr>
    <w:tblGrid>
      <w:gridCol w:w="7560"/>
      <w:gridCol w:w="3690"/>
    </w:tblGrid>
    <w:tr w:rsidR="00FC2544" w:rsidRPr="00CE385F" w:rsidTr="00CE385F">
      <w:trPr>
        <w:trHeight w:val="83"/>
      </w:trPr>
      <w:tc>
        <w:tcPr>
          <w:tcW w:w="7560" w:type="dxa"/>
          <w:vMerge w:val="restart"/>
          <w:shd w:val="clear" w:color="auto" w:fill="FFFFFF"/>
        </w:tcPr>
        <w:p w:rsidR="00FC2544" w:rsidRPr="00CE385F" w:rsidRDefault="00EF51C4" w:rsidP="00004D71">
          <w:pPr>
            <w:pStyle w:val="Header"/>
            <w:rPr>
              <w:rFonts w:cs="Calibri"/>
              <w:b/>
              <w:bCs/>
              <w:color w:val="000000"/>
              <w:sz w:val="20"/>
              <w:szCs w:val="20"/>
            </w:rPr>
          </w:pPr>
          <w:r>
            <w:rPr>
              <w:rFonts w:cs="Calibri"/>
              <w:b/>
              <w:noProof/>
              <w:color w:val="000000"/>
              <w:sz w:val="20"/>
              <w:szCs w:val="20"/>
            </w:rPr>
            <w:drawing>
              <wp:inline distT="0" distB="0" distL="0" distR="0">
                <wp:extent cx="20478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tc>
      <w:tc>
        <w:tcPr>
          <w:tcW w:w="3690" w:type="dxa"/>
          <w:shd w:val="clear" w:color="auto" w:fill="E36C0A"/>
        </w:tcPr>
        <w:p w:rsidR="00FC2544" w:rsidRPr="00CE385F" w:rsidRDefault="00FC2544" w:rsidP="00004D71">
          <w:pPr>
            <w:pStyle w:val="Header"/>
            <w:rPr>
              <w:rFonts w:cs="Calibri"/>
              <w:b/>
              <w:bCs/>
              <w:color w:val="000000"/>
              <w:sz w:val="20"/>
              <w:szCs w:val="20"/>
            </w:rPr>
          </w:pPr>
          <w:r w:rsidRPr="00CE385F">
            <w:rPr>
              <w:rFonts w:cs="Calibri"/>
              <w:b/>
              <w:bCs/>
              <w:color w:val="000000"/>
              <w:sz w:val="20"/>
              <w:szCs w:val="20"/>
            </w:rPr>
            <w:t>Phone  : 0452-4353991 / 4354991</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sz w:val="20"/>
              <w:szCs w:val="20"/>
            </w:rPr>
          </w:pPr>
        </w:p>
      </w:tc>
      <w:tc>
        <w:tcPr>
          <w:tcW w:w="3690" w:type="dxa"/>
          <w:shd w:val="clear" w:color="auto" w:fill="FFFFFF"/>
        </w:tcPr>
        <w:p w:rsidR="00FC2544" w:rsidRPr="00CE385F" w:rsidRDefault="00FC2544" w:rsidP="00004D71">
          <w:pPr>
            <w:pStyle w:val="Header"/>
            <w:rPr>
              <w:rFonts w:cs="Calibri"/>
              <w:b/>
              <w:color w:val="000000"/>
              <w:sz w:val="20"/>
              <w:szCs w:val="20"/>
            </w:rPr>
          </w:pPr>
          <w:r w:rsidRPr="00CE385F">
            <w:rPr>
              <w:rFonts w:cs="Calibri"/>
              <w:b/>
              <w:color w:val="000000"/>
              <w:sz w:val="20"/>
              <w:szCs w:val="20"/>
            </w:rPr>
            <w:t>Mobile : +91-</w:t>
          </w:r>
          <w:r w:rsidR="001542CA">
            <w:rPr>
              <w:rFonts w:cs="Calibri"/>
              <w:b/>
              <w:color w:val="000000"/>
              <w:sz w:val="20"/>
              <w:szCs w:val="20"/>
            </w:rPr>
            <w:t xml:space="preserve">9543218617 </w:t>
          </w:r>
          <w:r w:rsidRPr="00CE385F">
            <w:rPr>
              <w:rFonts w:cs="Calibri"/>
              <w:b/>
              <w:color w:val="000000"/>
              <w:sz w:val="20"/>
              <w:szCs w:val="20"/>
            </w:rPr>
            <w:t>/9543218650</w:t>
          </w:r>
        </w:p>
      </w:tc>
    </w:tr>
    <w:tr w:rsidR="00FC2544" w:rsidRPr="00CE385F" w:rsidTr="00CE385F">
      <w:trPr>
        <w:trHeight w:val="86"/>
      </w:trPr>
      <w:tc>
        <w:tcPr>
          <w:tcW w:w="7560" w:type="dxa"/>
          <w:vMerge/>
          <w:shd w:val="clear" w:color="auto" w:fill="E36C0A"/>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Email :ieeeprojects@eminents.in</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FFFFFF"/>
        </w:tcPr>
        <w:p w:rsidR="00FC2544" w:rsidRPr="00CE385F" w:rsidRDefault="00FC2544" w:rsidP="00004D71">
          <w:pPr>
            <w:pStyle w:val="Header"/>
            <w:rPr>
              <w:rFonts w:cs="Calibri"/>
              <w:b/>
              <w:color w:val="000000"/>
            </w:rPr>
          </w:pPr>
          <w:r w:rsidRPr="00CE385F">
            <w:rPr>
              <w:rFonts w:cs="Calibri"/>
              <w:b/>
              <w:color w:val="000000"/>
            </w:rPr>
            <w:t>Website : www.eminents.in</w:t>
          </w:r>
        </w:p>
      </w:tc>
    </w:tr>
    <w:tr w:rsidR="00FC2544" w:rsidRPr="00CE385F" w:rsidTr="00CE385F">
      <w:trPr>
        <w:trHeight w:val="552"/>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Address:134.FirstMainRoad,</w:t>
          </w:r>
        </w:p>
        <w:p w:rsidR="00FC2544" w:rsidRPr="00CE385F" w:rsidRDefault="00FC2544" w:rsidP="00004D71">
          <w:pPr>
            <w:pStyle w:val="Header"/>
            <w:rPr>
              <w:rFonts w:cs="Calibri"/>
              <w:b/>
              <w:color w:val="000000"/>
            </w:rPr>
          </w:pPr>
          <w:r w:rsidRPr="00CE385F">
            <w:rPr>
              <w:rFonts w:cs="Calibri"/>
              <w:b/>
              <w:color w:val="000000"/>
            </w:rPr>
            <w:t>K.K.Nagar,(A.R. Hospital Road)</w:t>
          </w:r>
        </w:p>
        <w:p w:rsidR="00FC2544" w:rsidRPr="00CE385F" w:rsidRDefault="00FC2544" w:rsidP="00004D71">
          <w:pPr>
            <w:pStyle w:val="Header"/>
            <w:rPr>
              <w:rFonts w:cs="Calibri"/>
              <w:b/>
              <w:color w:val="000000"/>
            </w:rPr>
          </w:pPr>
          <w:r w:rsidRPr="00CE385F">
            <w:rPr>
              <w:rFonts w:cs="Calibri"/>
              <w:b/>
              <w:color w:val="000000"/>
            </w:rPr>
            <w:t>Madurai-625020</w:t>
          </w:r>
        </w:p>
      </w:tc>
    </w:tr>
  </w:tbl>
  <w:p w:rsidR="00FC2544" w:rsidRDefault="00FC2544" w:rsidP="0012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7"/>
    <w:rsid w:val="00004D71"/>
    <w:rsid w:val="000118D8"/>
    <w:rsid w:val="000804F5"/>
    <w:rsid w:val="000B3C49"/>
    <w:rsid w:val="000F749A"/>
    <w:rsid w:val="00122237"/>
    <w:rsid w:val="001542CA"/>
    <w:rsid w:val="00170B3B"/>
    <w:rsid w:val="00192174"/>
    <w:rsid w:val="002F271F"/>
    <w:rsid w:val="00317D45"/>
    <w:rsid w:val="003266DD"/>
    <w:rsid w:val="00404D79"/>
    <w:rsid w:val="004276B0"/>
    <w:rsid w:val="00427C85"/>
    <w:rsid w:val="006D4AEF"/>
    <w:rsid w:val="006E47DE"/>
    <w:rsid w:val="007263A8"/>
    <w:rsid w:val="009252C5"/>
    <w:rsid w:val="009C717E"/>
    <w:rsid w:val="00A17CF5"/>
    <w:rsid w:val="00C021A6"/>
    <w:rsid w:val="00C546C9"/>
    <w:rsid w:val="00CD72F4"/>
    <w:rsid w:val="00CE385F"/>
    <w:rsid w:val="00D31C1C"/>
    <w:rsid w:val="00EF51C4"/>
    <w:rsid w:val="00F07C51"/>
    <w:rsid w:val="00FA3D7D"/>
    <w:rsid w:val="00FA7AB6"/>
    <w:rsid w:val="00FB65FD"/>
    <w:rsid w:val="00F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922">
      <w:bodyDiv w:val="1"/>
      <w:marLeft w:val="0"/>
      <w:marRight w:val="0"/>
      <w:marTop w:val="0"/>
      <w:marBottom w:val="0"/>
      <w:divBdr>
        <w:top w:val="none" w:sz="0" w:space="0" w:color="auto"/>
        <w:left w:val="none" w:sz="0" w:space="0" w:color="auto"/>
        <w:bottom w:val="none" w:sz="0" w:space="0" w:color="auto"/>
        <w:right w:val="none" w:sz="0" w:space="0" w:color="auto"/>
      </w:divBdr>
    </w:div>
    <w:div w:id="1028532069">
      <w:bodyDiv w:val="1"/>
      <w:marLeft w:val="0"/>
      <w:marRight w:val="0"/>
      <w:marTop w:val="0"/>
      <w:marBottom w:val="0"/>
      <w:divBdr>
        <w:top w:val="none" w:sz="0" w:space="0" w:color="auto"/>
        <w:left w:val="none" w:sz="0" w:space="0" w:color="auto"/>
        <w:bottom w:val="none" w:sz="0" w:space="0" w:color="auto"/>
        <w:right w:val="none" w:sz="0" w:space="0" w:color="auto"/>
      </w:divBdr>
    </w:div>
    <w:div w:id="1078282500">
      <w:bodyDiv w:val="1"/>
      <w:marLeft w:val="0"/>
      <w:marRight w:val="0"/>
      <w:marTop w:val="0"/>
      <w:marBottom w:val="0"/>
      <w:divBdr>
        <w:top w:val="none" w:sz="0" w:space="0" w:color="auto"/>
        <w:left w:val="none" w:sz="0" w:space="0" w:color="auto"/>
        <w:bottom w:val="none" w:sz="0" w:space="0" w:color="auto"/>
        <w:right w:val="none" w:sz="0" w:space="0" w:color="auto"/>
      </w:divBdr>
    </w:div>
    <w:div w:id="1170412918">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 lap</dc:creator>
  <cp:lastModifiedBy>kalvi lap</cp:lastModifiedBy>
  <cp:revision>2</cp:revision>
  <cp:lastPrinted>2014-08-19T12:33:00Z</cp:lastPrinted>
  <dcterms:created xsi:type="dcterms:W3CDTF">2014-11-28T10:47:00Z</dcterms:created>
  <dcterms:modified xsi:type="dcterms:W3CDTF">2014-11-28T10:47:00Z</dcterms:modified>
</cp:coreProperties>
</file>